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Layout w:type="fixed"/>
        <w:tblCellMar>
          <w:top w:w="0" w:type="dxa"/>
          <w:left w:w="0" w:type="dxa"/>
          <w:bottom w:w="0" w:type="dxa"/>
          <w:right w:w="0" w:type="dxa"/>
        </w:tblCellMar>
      </w:tblPr>
      <w:tblGrid>
        <w:gridCol w:w="8843"/>
      </w:tblGrid>
      <w:tr w14:paraId="4474405A">
        <w:trPr>
          <w:cantSplit/>
          <w:trHeight w:val="1748" w:hRule="atLeast"/>
        </w:trPr>
        <w:tc>
          <w:tcPr>
            <w:tcW w:w="8843" w:type="dxa"/>
            <w:tcBorders>
              <w:top w:val="nil"/>
              <w:left w:val="nil"/>
              <w:bottom w:val="nil"/>
              <w:right w:val="nil"/>
            </w:tcBorders>
          </w:tcPr>
          <w:p w14:paraId="067EAB0A">
            <w:pPr>
              <w:pStyle w:val="6"/>
              <w:keepNext w:val="0"/>
              <w:keepLines w:val="0"/>
              <w:pageBreakBefore w:val="0"/>
              <w:widowControl/>
              <w:kinsoku/>
              <w:wordWrap/>
              <w:overflowPunct/>
              <w:topLinePunct w:val="0"/>
              <w:autoSpaceDE/>
              <w:autoSpaceDN/>
              <w:bidi w:val="0"/>
              <w:adjustRightInd w:val="0"/>
              <w:snapToGrid w:val="0"/>
              <w:spacing w:after="0" w:afterLines="100"/>
              <w:textAlignment w:val="auto"/>
              <w:rPr>
                <w:rFonts w:hint="eastAsia" w:ascii="方正小标宋简体" w:hAnsi="方正小标宋简体" w:eastAsia="方正小标宋简体" w:cs="方正小标宋简体"/>
                <w:b w:val="0"/>
                <w:bCs/>
                <w:w w:val="80"/>
                <w:szCs w:val="110"/>
              </w:rPr>
            </w:pPr>
            <w:r>
              <w:rPr>
                <w:rFonts w:hint="eastAsia" w:ascii="方正小标宋简体" w:hAnsi="方正小标宋简体" w:eastAsia="方正小标宋简体" w:cs="方正小标宋简体"/>
                <w:b w:val="0"/>
                <w:bCs/>
                <w:w w:val="50"/>
                <w:sz w:val="108"/>
                <w:szCs w:val="108"/>
              </w:rPr>
              <w:t>全国大学生智能应用开发大赛组委会</w:t>
            </w:r>
          </w:p>
        </w:tc>
      </w:tr>
      <w:tr w14:paraId="06562979">
        <w:trPr>
          <w:cantSplit/>
          <w:trHeight w:val="452" w:hRule="atLeast"/>
        </w:trPr>
        <w:tc>
          <w:tcPr>
            <w:tcW w:w="8843" w:type="dxa"/>
            <w:tcBorders>
              <w:top w:val="nil"/>
              <w:left w:val="nil"/>
              <w:bottom w:val="nil"/>
              <w:right w:val="nil"/>
            </w:tcBorders>
          </w:tcPr>
          <w:p w14:paraId="212F7C6C">
            <w:pPr>
              <w:pStyle w:val="6"/>
              <w:keepNext w:val="0"/>
              <w:keepLines w:val="0"/>
              <w:pageBreakBefore w:val="0"/>
              <w:widowControl/>
              <w:kinsoku/>
              <w:wordWrap/>
              <w:overflowPunct/>
              <w:topLinePunct w:val="0"/>
              <w:autoSpaceDE/>
              <w:autoSpaceDN/>
              <w:bidi w:val="0"/>
              <w:adjustRightInd w:val="0"/>
              <w:snapToGrid w:val="0"/>
              <w:spacing w:after="0" w:afterLines="0"/>
              <w:textAlignment w:val="auto"/>
              <w:rPr>
                <w:rFonts w:hint="eastAsia" w:ascii="方正小标宋简体" w:hAnsi="方正小标宋简体" w:eastAsia="方正小标宋简体" w:cs="方正小标宋简体"/>
                <w:b w:val="0"/>
                <w:bCs/>
                <w:w w:val="50"/>
                <w:sz w:val="108"/>
                <w:szCs w:val="108"/>
              </w:rPr>
            </w:pPr>
            <w:r>
              <w:rPr>
                <w:rFonts w:hint="eastAsia" w:ascii="方正仿宋_GB2312" w:hAnsi="方正仿宋_GB2312" w:eastAsia="方正仿宋_GB2312" w:cs="方正仿宋_GB2312"/>
                <w:b w:val="0"/>
                <w:bCs/>
                <w:color w:val="auto"/>
                <w:w w:val="100"/>
                <w:sz w:val="32"/>
                <w:szCs w:val="32"/>
                <w:lang w:val="en-US" w:eastAsia="zh-CN"/>
              </w:rPr>
              <w:t>组委会</w:t>
            </w:r>
            <w:r>
              <w:rPr>
                <w:rFonts w:hint="eastAsia" w:ascii="方正仿宋_GB2312" w:hAnsi="方正仿宋_GB2312" w:eastAsia="方正仿宋_GB2312" w:cs="方正仿宋_GB2312"/>
                <w:b w:val="0"/>
                <w:bCs/>
                <w:color w:val="auto"/>
                <w:w w:val="100"/>
                <w:sz w:val="32"/>
                <w:szCs w:val="32"/>
              </w:rPr>
              <w:t>〔2026〕</w:t>
            </w:r>
            <w:r>
              <w:rPr>
                <w:rFonts w:hint="eastAsia" w:ascii="方正仿宋_GB2312" w:hAnsi="方正仿宋_GB2312" w:eastAsia="方正仿宋_GB2312" w:cs="方正仿宋_GB2312"/>
                <w:b w:val="0"/>
                <w:bCs/>
                <w:color w:val="auto"/>
                <w:w w:val="100"/>
                <w:sz w:val="32"/>
                <w:szCs w:val="32"/>
                <w:lang w:val="en-US" w:eastAsia="zh-CN"/>
              </w:rPr>
              <w:t>1</w:t>
            </w:r>
            <w:r>
              <w:rPr>
                <w:rFonts w:hint="eastAsia" w:ascii="方正仿宋_GB2312" w:hAnsi="方正仿宋_GB2312" w:eastAsia="方正仿宋_GB2312" w:cs="方正仿宋_GB2312"/>
                <w:b w:val="0"/>
                <w:bCs/>
                <w:color w:val="auto"/>
                <w:w w:val="100"/>
                <w:sz w:val="32"/>
                <w:szCs w:val="32"/>
              </w:rPr>
              <w:t>号</w:t>
            </w:r>
          </w:p>
        </w:tc>
      </w:tr>
      <w:tr w14:paraId="0087B71C">
        <w:trPr>
          <w:cantSplit/>
          <w:trHeight w:val="335" w:hRule="atLeast"/>
        </w:trPr>
        <w:tc>
          <w:tcPr>
            <w:tcW w:w="8843" w:type="dxa"/>
            <w:tcBorders>
              <w:top w:val="nil"/>
              <w:left w:val="nil"/>
              <w:bottom w:val="single" w:color="FF0000" w:sz="24" w:space="0"/>
              <w:right w:val="nil"/>
            </w:tcBorders>
          </w:tcPr>
          <w:p w14:paraId="516F5515">
            <w:pPr>
              <w:pStyle w:val="6"/>
              <w:keepNext w:val="0"/>
              <w:keepLines w:val="0"/>
              <w:pageBreakBefore w:val="0"/>
              <w:widowControl/>
              <w:kinsoku/>
              <w:wordWrap/>
              <w:overflowPunct/>
              <w:topLinePunct w:val="0"/>
              <w:autoSpaceDE/>
              <w:autoSpaceDN/>
              <w:bidi w:val="0"/>
              <w:adjustRightInd w:val="0"/>
              <w:snapToGrid w:val="0"/>
              <w:spacing w:after="0" w:afterLines="0" w:line="240" w:lineRule="auto"/>
              <w:textAlignment w:val="auto"/>
              <w:rPr>
                <w:rFonts w:hint="eastAsia" w:ascii="方正仿宋_GB2312" w:hAnsi="方正仿宋_GB2312" w:eastAsia="方正仿宋_GB2312" w:cs="方正仿宋_GB2312"/>
                <w:b w:val="0"/>
                <w:bCs/>
                <w:color w:val="auto"/>
                <w:w w:val="100"/>
                <w:sz w:val="28"/>
                <w:szCs w:val="28"/>
              </w:rPr>
            </w:pPr>
          </w:p>
        </w:tc>
      </w:tr>
      <w:tr w14:paraId="7FCE1A97">
        <w:trPr>
          <w:cantSplit/>
          <w:trHeight w:val="476" w:hRule="atLeast"/>
        </w:trPr>
        <w:tc>
          <w:tcPr>
            <w:tcW w:w="8843" w:type="dxa"/>
            <w:tcBorders>
              <w:top w:val="single" w:color="FF0000" w:sz="24" w:space="0"/>
              <w:left w:val="nil"/>
              <w:bottom w:val="nil"/>
              <w:right w:val="nil"/>
            </w:tcBorders>
            <w:vAlign w:val="center"/>
          </w:tcPr>
          <w:p w14:paraId="79163CC0">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方正小标宋_GBK" w:hAnsi="方正小标宋_GBK" w:eastAsia="方正小标宋_GBK" w:cs="方正小标宋_GBK"/>
                <w:bCs/>
                <w:sz w:val="36"/>
                <w:szCs w:val="36"/>
              </w:rPr>
            </w:pPr>
          </w:p>
        </w:tc>
      </w:tr>
      <w:tr w14:paraId="3C84797C">
        <w:trPr>
          <w:cantSplit/>
          <w:trHeight w:val="612" w:hRule="atLeast"/>
        </w:trPr>
        <w:tc>
          <w:tcPr>
            <w:tcW w:w="8843" w:type="dxa"/>
            <w:tcBorders>
              <w:top w:val="nil"/>
            </w:tcBorders>
            <w:shd w:val="clear" w:color="auto" w:fill="auto"/>
            <w:vAlign w:val="center"/>
          </w:tcPr>
          <w:p w14:paraId="742CB27E">
            <w:pPr>
              <w:spacing w:line="540" w:lineRule="exact"/>
              <w:ind w:firstLine="0" w:firstLineChars="0"/>
              <w:jc w:val="center"/>
              <w:rPr>
                <w:rFonts w:hint="default" w:ascii="方正小标宋_GBK" w:hAnsi="方正小标宋_GBK" w:eastAsia="方正小标宋_GBK" w:cs="方正小标宋_GBK"/>
                <w:bCs/>
                <w:sz w:val="44"/>
                <w:szCs w:val="44"/>
                <w:lang w:val="en-US" w:eastAsia="zh-CN"/>
              </w:rPr>
            </w:pPr>
            <w:r>
              <w:rPr>
                <w:rFonts w:hint="eastAsia" w:ascii="方正小标宋_GBK" w:hAnsi="方正小标宋_GBK" w:eastAsia="方正小标宋_GBK" w:cs="方正小标宋_GBK"/>
                <w:bCs/>
                <w:sz w:val="44"/>
                <w:szCs w:val="44"/>
              </w:rPr>
              <w:t>关于举办全国大学生智能应用开发大赛的通知</w:t>
            </w:r>
          </w:p>
        </w:tc>
      </w:tr>
      <w:tr w14:paraId="3748D885">
        <w:trPr>
          <w:cantSplit/>
          <w:trHeight w:val="523" w:hRule="exact"/>
        </w:trPr>
        <w:tc>
          <w:tcPr>
            <w:tcW w:w="8843" w:type="dxa"/>
            <w:vAlign w:val="center"/>
          </w:tcPr>
          <w:p w14:paraId="41355D4B">
            <w:pPr>
              <w:overflowPunct w:val="0"/>
              <w:topLinePunct/>
              <w:spacing w:line="240" w:lineRule="auto"/>
              <w:jc w:val="center"/>
              <w:rPr>
                <w:rFonts w:ascii="GWZT-EN" w:hAnsi="仿宋" w:eastAsia="仿宋" w:cs="仿宋"/>
                <w:sz w:val="32"/>
              </w:rPr>
            </w:pPr>
          </w:p>
        </w:tc>
      </w:tr>
    </w:tbl>
    <w:p w14:paraId="0DB2DBBD">
      <w:pPr>
        <w:keepNext w:val="0"/>
        <w:keepLines w:val="0"/>
        <w:pageBreakBefore w:val="0"/>
        <w:widowControl w:val="0"/>
        <w:kinsoku/>
        <w:wordWrap/>
        <w:overflowPunct/>
        <w:topLinePunct w:val="0"/>
        <w:autoSpaceDE/>
        <w:autoSpaceDN/>
        <w:bidi w:val="0"/>
        <w:adjustRightInd/>
        <w:snapToGrid/>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各有关高等学校、职业院校、相关单位：</w:t>
      </w:r>
    </w:p>
    <w:p w14:paraId="420F2C8D">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深入贯彻落实教育强国、科技强国、人才强国建设战略部署，主动适应人工智能技术快速演进、数字经济与实体经济深度融合的新形势新要求，进一步激发青年学生创新潜能与创造活力，切实提升大学生面向真实需求开展智能应用开发、产品设计、场景验证与项目实践的综合能力，全国大学生智能应用开发大赛组织委员会决定举办全国大学生智能应用开发大赛。现将有关事项通知如下。</w:t>
      </w:r>
    </w:p>
    <w:p w14:paraId="3AB8C6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一、大赛名称</w:t>
      </w:r>
    </w:p>
    <w:p w14:paraId="5102AEA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全国大学生智能应用开发大赛。</w:t>
      </w:r>
    </w:p>
    <w:p w14:paraId="2F8F84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二、组织单位</w:t>
      </w:r>
    </w:p>
    <w:p w14:paraId="53B0DA9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指导单位：中国移动通信联合会人工智能产教融合研究院</w:t>
      </w:r>
      <w:r>
        <w:rPr>
          <w:rFonts w:hint="eastAsia" w:ascii="方正仿宋_GB2312" w:hAnsi="方正仿宋_GB2312" w:eastAsia="方正仿宋_GB2312" w:cs="方正仿宋_GB2312"/>
          <w:sz w:val="32"/>
          <w:szCs w:val="32"/>
          <w:lang w:eastAsia="zh-CN"/>
        </w:rPr>
        <w:t>。</w:t>
      </w:r>
    </w:p>
    <w:p w14:paraId="62EDB8B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主办单位：全国大学生智能应用开发大赛组织委员会。</w:t>
      </w:r>
    </w:p>
    <w:p w14:paraId="2302BE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三、大赛定位</w:t>
      </w:r>
    </w:p>
    <w:p w14:paraId="5FC08E5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大赛面向青年开发实践主体组织实施，紧紧围绕智能应用开发、场景化技术实践、实践能力提升和项目持续培育四大核心维度，组织参赛团队系统开展项目构思、方案设计、原型开发、成果展示与应用验证等全流程工作。大赛不单纯以创意展示为唯一目标，也不单纯以技术复杂度作为唯一评价依据，始终聚焦项目真实来源、团队真实参与、过程真实推进和成果真实可信等关键要素开展考察。</w:t>
      </w:r>
    </w:p>
    <w:p w14:paraId="54F016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四、参赛组别</w:t>
      </w:r>
    </w:p>
    <w:p w14:paraId="3D551251">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届大赛设置职教组、高校组和青年创新组三个参赛组别。职教组主要面向全日制职业院校及其他符合条件的职业教育阶段在校学生；高校组主要面向普通高等学校全日制在校学生，覆盖本科生、研究生及其他符合条件的高校在校学生；青年创新组主要面向具备明确项目基础、开发实践经历或组织实施能力的青年项目主体。</w:t>
      </w:r>
    </w:p>
    <w:p w14:paraId="48B6DCA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校组实行统一组织评审、统一排序、统一确定奖项。青年创新组为赛事开放专项组，坚持单独评审、单独排序、单独确定奖项，不与职教组、高校组在同一评价序列内混合竞争。青年创新组参赛人员年龄原则上不超过35周岁；以公司主体或团队主体参赛的，须提交相应授权、主体关系和项目权属说明。</w:t>
      </w:r>
    </w:p>
    <w:p w14:paraId="1106916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五、赛道设置</w:t>
      </w:r>
    </w:p>
    <w:p w14:paraId="7EA37B7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届大赛设置萌芽赛道、创意赛道和OPC轻创赛道。萌芽赛道主要面向仍处于早期探索阶段、尚未完全成型但具备明显创新潜力和成长空间的项目；创意赛道主要面向已经形成较为明确的问题意识、应用方向和产品构想的项目；OPC轻创赛道主要面向已经产出部分成果、完成一定验证、具备现场演示条件但尚未进入成熟产品形态的项目。</w:t>
      </w:r>
    </w:p>
    <w:p w14:paraId="2681AFF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OPC轻创赛道中的“轻创”定位为轻量化创作、轻量化创新实践和轻量化开发验证，突出小规模、轻组织、强主导、快验证、重实践的鲜明特征。OPC作为轻量化实践导向的赛道名称予以保留，但不作为公司形态或参赛资格要求。</w:t>
      </w:r>
    </w:p>
    <w:p w14:paraId="0F63FB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六、项目方向与技术要求</w:t>
      </w:r>
    </w:p>
    <w:p w14:paraId="3DAB9E67">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参赛项目须紧密围绕智能应用开发的现实需求，重点面向教育教学、校园服务、智慧生活、文化传播、产业协同、社会治理、公共服务、智能制造、健康服务、数字文创等领域开展。项目类型包括但不限于AI智能体应用、AI生态应用、智能终端软件、智能硬件交互、AI辅助学习工具、智慧校园服务系统、AI办公与协作工具、数字文创与内容生成应用、智能制造辅助系统、行业智能化解决方案、公共服务智能应用等。</w:t>
      </w:r>
    </w:p>
    <w:p w14:paraId="6CFF9A5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大赛不限定编程语言、开发框架、操作系统、芯片平台或终端形态。参赛团队可根据项目目标、技术基础和应用场景自主选择合适的技术路线，但应能够说明关键技术选型、开发过程、团队真实贡献及项目可验证成果。</w:t>
      </w:r>
    </w:p>
    <w:p w14:paraId="110F5B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七、报名与材料提交</w:t>
      </w:r>
    </w:p>
    <w:p w14:paraId="1EEB07AD">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参赛项目可由个人或团队申报，不设最低人数要求。团队规模原则上控制在10人以内；因项目复杂度高、跨领域协作需求显著或展示任务繁重等原因确需增加团队人数的，可提交专项说明，经组委会审核后适当放宽，但团队总人数原则上不得超过15人。</w:t>
      </w:r>
    </w:p>
    <w:p w14:paraId="60ECDE0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参赛团队须按要求提交项目报告书、路演演示文稿、参赛团队信息表、项目真实性与知识产权承诺书、项目开发与过程证明材料。项目开发与过程证明材料包括但不限于代码仓库截图或提交记录、原型演示链接、功能流程说明、系统截图、测试记录、技术选型说明、关键模块说明、开发日志、版本迭代记录或其他可验证材料。</w:t>
      </w:r>
    </w:p>
    <w:p w14:paraId="6841DB0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涉及公司主体、社会组织、合作单位、第三方技术、数据资源、专利、软著、商标、导师科研成果或企业资源的项目，应提交营业执照、授权文件、合作协议、权属说明、证书材料或其他能够证明项目关系的文件。大赛组委会仅将上述材料用于资格审核、权属确认、授权核验和风险防控，不将其作为公司化参赛要求，也不将其纳入评审加分依据。</w:t>
      </w:r>
    </w:p>
    <w:p w14:paraId="2F3B1C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八、赛程安排</w:t>
      </w:r>
    </w:p>
    <w:p w14:paraId="24EA0F1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届大赛自2026年7月1日启动，至2026年9月28日结束，整体周期控制在四个月以内，采取启动发布、报名征集、材料提交、资格审核、线上初赛、复核评审、项目打磨、线下决赛、成果展示与资源对接的组织流程。具体安排如下：</w:t>
      </w:r>
      <w:r>
        <w:rPr>
          <w:rFonts w:hint="eastAsia" w:ascii="方正仿宋_GB2312" w:hAnsi="方正仿宋_GB2312" w:eastAsia="方正仿宋_GB2312" w:cs="方正仿宋_GB2312"/>
          <w:sz w:val="32"/>
          <w:szCs w:val="32"/>
          <w:lang w:val="en-US" w:eastAsia="zh-CN"/>
        </w:rPr>
      </w:r>
      <w:r>
        <w:rPr>
          <w:rFonts w:hint="eastAsia" w:ascii="方正仿宋_GB2312" w:hAnsi="方正仿宋_GB2312" w:eastAsia="方正仿宋_GB2312" w:cs="方正仿宋_GB2312"/>
          <w:sz w:val="32"/>
          <w:szCs w:val="32"/>
        </w:rPr>
      </w:r>
      <w:r>
        <w:rPr>
          <w:rFonts w:hint="eastAsia" w:ascii="方正仿宋_GB2312" w:hAnsi="方正仿宋_GB2312" w:eastAsia="方正仿宋_GB2312" w:cs="方正仿宋_GB2312"/>
          <w:sz w:val="32"/>
          <w:szCs w:val="32"/>
          <w:lang w:val="en-US" w:eastAsia="zh-CN"/>
        </w:rPr>
      </w:r>
      <w:r>
        <w:rPr>
          <w:rFonts w:hint="eastAsia" w:ascii="方正仿宋_GB2312" w:hAnsi="方正仿宋_GB2312" w:eastAsia="方正仿宋_GB2312" w:cs="方正仿宋_GB2312"/>
          <w:sz w:val="32"/>
          <w:szCs w:val="32"/>
        </w:rPr>
      </w:r>
      <w:r>
        <w:rPr>
          <w:rFonts w:hint="eastAsia" w:ascii="方正仿宋_GB2312" w:hAnsi="方正仿宋_GB2312" w:eastAsia="方正仿宋_GB2312" w:cs="方正仿宋_GB2312"/>
          <w:sz w:val="32"/>
          <w:szCs w:val="32"/>
          <w:lang w:val="en-US" w:eastAsia="zh-CN"/>
        </w:rPr>
      </w:r>
      <w:r>
        <w:rPr>
          <w:rFonts w:hint="eastAsia" w:ascii="方正仿宋_GB2312" w:hAnsi="方正仿宋_GB2312" w:eastAsia="方正仿宋_GB2312" w:cs="方正仿宋_GB2312"/>
          <w:sz w:val="32"/>
          <w:szCs w:val="32"/>
        </w:rPr>
      </w:r>
      <w:r>
        <w:rPr>
          <w:rFonts w:hint="eastAsia" w:ascii="方正仿宋_GB2312" w:hAnsi="方正仿宋_GB2312" w:eastAsia="方正仿宋_GB2312" w:cs="方正仿宋_GB2312"/>
          <w:sz w:val="32"/>
          <w:szCs w:val="32"/>
          <w:lang w:val="en-US" w:eastAsia="zh-CN"/>
        </w:rPr>
      </w:r>
      <w:r>
        <w:rPr>
          <w:rFonts w:hint="eastAsia" w:ascii="方正仿宋_GB2312" w:hAnsi="方正仿宋_GB2312" w:eastAsia="方正仿宋_GB2312" w:cs="方正仿宋_GB2312"/>
          <w:sz w:val="32"/>
          <w:szCs w:val="32"/>
        </w:rPr>
      </w:r>
      <w:r>
        <w:rPr>
          <w:rFonts w:hint="eastAsia" w:ascii="方正仿宋_GB2312" w:hAnsi="方正仿宋_GB2312" w:eastAsia="方正仿宋_GB2312" w:cs="方正仿宋_GB2312"/>
          <w:sz w:val="32"/>
          <w:szCs w:val="32"/>
          <w:lang w:val="en-US" w:eastAsia="zh-CN"/>
        </w:rPr>
      </w:r>
      <w:r>
        <w:rPr>
          <w:rFonts w:hint="eastAsia" w:ascii="方正仿宋_GB2312" w:hAnsi="方正仿宋_GB2312" w:eastAsia="方正仿宋_GB2312" w:cs="方正仿宋_GB2312"/>
          <w:sz w:val="32"/>
          <w:szCs w:val="32"/>
        </w:rPr>
      </w:r>
      <w:r>
        <w:rPr>
          <w:rFonts w:hint="eastAsia" w:ascii="方正仿宋_GB2312" w:hAnsi="方正仿宋_GB2312" w:eastAsia="方正仿宋_GB2312" w:cs="方正仿宋_GB2312"/>
          <w:sz w:val="32"/>
          <w:szCs w:val="32"/>
          <w:lang w:val="en-US" w:eastAsia="zh-CN"/>
        </w:rPr>
      </w:r>
      <w:r>
        <w:rPr>
          <w:rFonts w:hint="eastAsia" w:ascii="方正仿宋_GB2312" w:hAnsi="方正仿宋_GB2312" w:eastAsia="方正仿宋_GB2312" w:cs="方正仿宋_GB2312"/>
          <w:sz w:val="32"/>
          <w:szCs w:val="32"/>
        </w:rPr>
      </w:r>
    </w:p>
    <w:p w14:paraId="0AE4ECE7">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启动发布、暑期预报名与组织动员：2026年7月1日至8月31日发布赛事通知、执行方案、评分细则及相关模板，开放报名入口，开展线上答疑、院校联系人建联和参赛线索沉淀。暑期不设置报名截止或集中评审节点。</w:t>
      </w:r>
    </w:p>
    <w:p w14:paraId="2E3923C1">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报名征集与材料提交：2026年7月1日至10月31日受理项目报名，组织参赛团队提交项目报告书、路演演示文稿、团队信息表、真实性与知识产权承诺书及项目开发与过程证明材料。其中7月至8月为暑期预报名和线上答疑期，9月至10月31日为开学季集中动员、材料完善和报名转化期。</w:t>
      </w:r>
      <w:bookmarkStart w:id="0" w:name="_GoBack"/>
      <w:bookmarkEnd w:id="0"/>
      <w:r>
        <w:rPr>
          <w:rFonts w:hint="eastAsia" w:ascii="方正仿宋_GB2312" w:hAnsi="方正仿宋_GB2312" w:eastAsia="方正仿宋_GB2312" w:cs="方正仿宋_GB2312"/>
          <w:sz w:val="32"/>
          <w:szCs w:val="32"/>
        </w:rPr>
      </w:r>
    </w:p>
    <w:p w14:paraId="18BAC11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（3）资格审核与初赛组织：2026年11月1日至11月7日开展材料完整性、资格符合性、赛道适配性和基础合规审查，并组织符合条件的项目进入线上初赛。</w:t>
      </w:r>
    </w:p>
    <w:p w14:paraId="38327A8D">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（4）初赛评审与入围确认：2026年11月8日至11月15日组织线上材料评审，根据需要设置线上陈述或问答，综合确定拟入围决赛项目。</w:t>
      </w:r>
    </w:p>
    <w:p w14:paraId="504A61A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（5）项目打磨与决赛材料复核：2026年11月16日至12月6日组织入围项目开展展示内容打磨、路演材料完善和演示准备，并对真实性、知识产权、团队成员身份、项目成果及相关证明材料进行复核。</w:t>
      </w:r>
    </w:p>
    <w:p w14:paraId="2A9AD6B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（6）线下决赛与成果展示：2026年12月12日至12月13日组织线下路演答辩、项目展示、奖项评定、颁奖仪式和资源对接活动。</w:t>
      </w:r>
    </w:p>
    <w:p w14:paraId="0AFDD95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线下决赛采取“6至8分钟路演展示+4至5分钟专家问答”的方式进行。参赛团队应围绕问题来源、技术方案、阶段成果、演示内容、团队贡献和后续计划进行集中展示。具体时间、地点及入围安排以组委会后续通知为准。</w:t>
      </w:r>
    </w:p>
    <w:p w14:paraId="72D2DB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九、评审与奖项</w:t>
      </w:r>
    </w:p>
    <w:p w14:paraId="61E79EF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大赛评审工作坚持分组评价、分道评价、分阶段评价、公开规范评价原则。初赛阶段采取材料评审方式，重点审查项目材料完整性、逻辑清晰度、开发过程证据、成果基础、发展潜力及赛道适配性；决赛阶段采取路演展示与专家答辩相结合的方式进行，重点考察项目展示效果、现场表达能力、专家问答质量、成果真实性、开发完成度、演示完成度和后续迭代能力。</w:t>
      </w:r>
    </w:p>
    <w:p w14:paraId="59042D0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大赛设金奖、银奖、铜奖及优秀奖，并根据赛事组织工作需要设立技术创新奖、场景突破奖、产品匠心奖、优秀指导教师奖、卓越组织奖、协同育人奖等专项及组织支持类奖项。各奖项具体数量、获奖比例及最终分配方案，由全国大学生智能应用开发大赛组织委员会根据实际报名规模、有效参赛项目数量、各组别与赛道分布情况以及决赛阶段综合表现统筹确定，并在补充实施细则中予以公布。</w:t>
      </w:r>
    </w:p>
    <w:p w14:paraId="22A931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十、报名费用</w:t>
      </w:r>
    </w:p>
    <w:p w14:paraId="7E756B6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本次大赛各参赛组别、各赛道报名费统一标准为每人50元。参赛团队须按实际报名人数缴纳相应费用，即每队报名费用计算公式为：50元/人×实际报名人数。</w:t>
      </w:r>
    </w:p>
    <w:p w14:paraId="030B8F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十一、纪律与要求</w:t>
      </w:r>
    </w:p>
    <w:p w14:paraId="53AF869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参赛团队须严格遵守赛事规则，如实填报报名信息、身份信息、项目材料及相关说明，并按要求全程参与评审、展示和答辩等环节。团队成员须对项目作出实际贡献，不得挂名参赛，不得借用他人成果参赛，不得冒用他人身份参赛，不得虚构团队成员、项目基础、用户数据、合作资源或运营成果。</w:t>
      </w:r>
    </w:p>
    <w:p w14:paraId="5447677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参赛项目必须坚持正确导向，确保内容真实、健康、合法。项目所涉及的发明创造、专利技术、数据资源、代码成果、设计作品、模型样机、合作资源等，须具有清晰、合法、可明确说明的知识产权归属或使用授权。凡经查实存在弄虚作假、侵权违规、冒名参赛、虚假包装等行为的，组委会将取消其参赛资格、获奖资格及相关荣誉；情节严重的，纳入赛事诚信管理范围，并保留依法依规进一步处理的权利。</w:t>
      </w:r>
    </w:p>
    <w:p w14:paraId="2D120C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十二、其他事项</w:t>
      </w:r>
    </w:p>
    <w:p w14:paraId="3E59B97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请各有关单位高度重视本次大赛组织工作，积极做好宣传动员、项目培育、报名指导和材料审核服务，引导参赛团队围绕真实问题开展真实开发、真实验证和真实表达。</w:t>
      </w:r>
    </w:p>
    <w:p w14:paraId="67798A3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大赛报名表、项目报告书模板、真实性与知识产权承诺书、评审规则及其他配套材料，由大赛组委会根据赛事推进安排另行发布。</w:t>
      </w:r>
    </w:p>
    <w:p w14:paraId="0CC53B2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p>
    <w:p w14:paraId="349C671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rPr>
      </w:pPr>
    </w:p>
    <w:p w14:paraId="13323173">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全国大学生智能应用开发大赛组织委员会</w:t>
      </w:r>
    </w:p>
    <w:p w14:paraId="7D4A9760">
      <w:pPr>
        <w:keepNext w:val="0"/>
        <w:keepLines w:val="0"/>
        <w:pageBreakBefore w:val="0"/>
        <w:widowControl w:val="0"/>
        <w:kinsoku/>
        <w:wordWrap w:val="0"/>
        <w:overflowPunct/>
        <w:topLinePunct w:val="0"/>
        <w:autoSpaceDE/>
        <w:autoSpaceDN/>
        <w:bidi w:val="0"/>
        <w:adjustRightInd/>
        <w:snapToGrid/>
        <w:ind w:firstLine="640" w:firstLineChars="200"/>
        <w:jc w:val="righ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2026年7月1日</w:t>
      </w:r>
      <w:r>
        <w:rPr>
          <w:rFonts w:hint="eastAsia" w:ascii="方正仿宋_GB2312" w:hAnsi="方正仿宋_GB2312" w:eastAsia="方正仿宋_GB2312" w:cs="方正仿宋_GB2312"/>
          <w:sz w:val="32"/>
          <w:szCs w:val="32"/>
          <w:lang w:val="en-US" w:eastAsia="zh-CN"/>
        </w:rPr>
        <w:t/>
      </w:r>
      <w:r>
        <w:rPr>
          <w:rFonts w:hint="eastAsia" w:ascii="方正仿宋_GB2312" w:hAnsi="方正仿宋_GB2312" w:eastAsia="方正仿宋_GB2312" w:cs="方正仿宋_GB2312"/>
          <w:sz w:val="32"/>
          <w:szCs w:val="32"/>
        </w:rPr>
        <w:t/>
      </w:r>
      <w:r>
        <w:rPr>
          <w:rFonts w:hint="eastAsia" w:ascii="方正仿宋_GB2312" w:hAnsi="方正仿宋_GB2312" w:eastAsia="方正仿宋_GB2312" w:cs="方正仿宋_GB2312"/>
          <w:sz w:val="32"/>
          <w:szCs w:val="32"/>
          <w:lang w:val="en-US" w:eastAsia="zh-CN"/>
        </w:rPr>
        <w:t/>
      </w:r>
      <w:r>
        <w:rPr>
          <w:rFonts w:hint="eastAsia" w:ascii="方正仿宋_GB2312" w:hAnsi="方正仿宋_GB2312" w:eastAsia="方正仿宋_GB2312" w:cs="方正仿宋_GB2312"/>
          <w:sz w:val="32"/>
          <w:szCs w:val="32"/>
        </w:rPr>
        <w:t/>
      </w:r>
      <w:r>
        <w:rPr>
          <w:rFonts w:hint="eastAsia" w:ascii="方正仿宋_GB2312" w:hAnsi="方正仿宋_GB2312" w:eastAsia="方正仿宋_GB2312" w:cs="方正仿宋_GB2312"/>
          <w:sz w:val="32"/>
          <w:szCs w:val="32"/>
          <w:lang w:val="en-US" w:eastAsia="zh-CN"/>
        </w:rPr>
        <w:t xml:space="preserve"/>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GWZT-EN">
    <w:altName w:val="苹方-简"/>
    <w:panose1 w:val="00000000000000000000"/>
    <w:charset w:val="00"/>
    <w:family w:val="auto"/>
    <w:pitch w:val="default"/>
    <w:sig w:usb0="00000000" w:usb1="00000000" w:usb2="00082016" w:usb3="00000000" w:csb0="00000003" w:csb1="00000000"/>
  </w:font>
  <w:font w:name="苹方-简">
    <w:panose1 w:val="020B0400000000000000"/>
    <w:charset w:val="86"/>
    <w:family w:val="auto"/>
    <w:pitch w:val="default"/>
    <w:sig w:usb0="A00002FF" w:usb1="7ACFFDFB" w:usb2="00000017"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ED608">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2451735</wp:posOffset>
              </wp:positionH>
              <wp:positionV relativeFrom="paragraph">
                <wp:posOffset>-162560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1F36E">
                          <w:pPr>
                            <w:pStyle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  \* MERGEFORMAT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3.05pt;margin-top:-12.8pt;height:144pt;width:144pt;mso-position-horizontal-relative:margin;mso-wrap-style:none;z-index:251659264;mso-width-relative:page;mso-height-relative:page;" filled="f" stroked="f" coordsize="21600,21600" o:gfxdata="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9u7ZP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34A1F36E">
                    <w:pPr>
                      <w:pStyle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  \* MERGEFORMAT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FFB25"/>
    <w:rsid w:val="3FEFFB25"/>
    <w:rsid w:val="3FFFDD1F"/>
    <w:rsid w:val="55FFD1E6"/>
    <w:rsid w:val="5FFDFCA2"/>
    <w:rsid w:val="93B6972F"/>
    <w:rsid w:val="FDDE1F19"/>
    <w:rsid w:val="FFE7E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发文机关"/>
    <w:qFormat/>
    <w:uiPriority w:val="0"/>
    <w:pPr>
      <w:adjustRightInd w:val="0"/>
      <w:snapToGrid w:val="0"/>
      <w:spacing w:after="624" w:afterLines="200"/>
      <w:jc w:val="center"/>
    </w:pPr>
    <w:rPr>
      <w:rFonts w:ascii="Calibri" w:hAnsi="Calibri" w:eastAsia="宋体" w:cs="Times New Roman"/>
      <w:b/>
      <w:color w:val="FF0000"/>
      <w:w w:val="60"/>
      <w:kern w:val="2"/>
      <w:sz w:val="130"/>
      <w:szCs w:val="13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31</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2026-05-30T13:18:00Z</dcterms:created>
  <dc:creator>johntao</dc:creator>
  <cp:lastModifiedBy>John Tao</cp:lastModifiedBy>
  <dcterms:modified xsi:type="dcterms:W3CDTF">2026-06-08T13:54:17Z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5ECEC2C6AF9E87BEC140186A251ADE22_41</vt:lpwstr>
  </property>
</Properties>
</file>